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B708">
      <w:pPr>
        <w:jc w:val="left"/>
        <w:rPr>
          <w:rFonts w:hint="default" w:ascii="Times New Roman" w:hAnsi="Times New Roman" w:eastAsia="方正黑体_GBK"/>
          <w:b w:val="0"/>
          <w:bCs w:val="0"/>
          <w:sz w:val="32"/>
          <w:szCs w:val="32"/>
          <w:lang w:val="en-US" w:eastAsia="zh-CN"/>
        </w:rPr>
      </w:pPr>
      <w:r>
        <w:rPr>
          <w:rFonts w:hint="default" w:ascii="Times New Roman" w:hAnsi="Times New Roman" w:eastAsia="方正黑体_GBK"/>
          <w:b w:val="0"/>
          <w:bCs w:val="0"/>
          <w:sz w:val="32"/>
          <w:szCs w:val="32"/>
        </w:rPr>
        <w:t>附件</w:t>
      </w:r>
      <w:r>
        <w:rPr>
          <w:rFonts w:hint="default" w:ascii="Times New Roman" w:hAnsi="Times New Roman" w:eastAsia="方正黑体_GBK"/>
          <w:b w:val="0"/>
          <w:bCs w:val="0"/>
          <w:sz w:val="32"/>
          <w:szCs w:val="32"/>
          <w:lang w:val="en-US" w:eastAsia="zh-CN"/>
        </w:rPr>
        <w:t>2</w:t>
      </w:r>
    </w:p>
    <w:p w14:paraId="30316C69">
      <w:pPr>
        <w:jc w:val="center"/>
        <w:rPr>
          <w:rFonts w:hint="eastAsia" w:ascii="方正仿宋_GB2312" w:hAnsi="方正仿宋_GB2312" w:eastAsia="方正仿宋_GB2312" w:cs="方正仿宋_GB2312"/>
          <w:b w:val="0"/>
          <w:bCs w:val="0"/>
          <w:sz w:val="32"/>
          <w:szCs w:val="32"/>
        </w:rPr>
      </w:pPr>
      <w:r>
        <w:rPr>
          <w:rFonts w:hint="eastAsia" w:ascii="方正公文小标宋" w:hAnsi="方正公文小标宋" w:eastAsia="方正公文小标宋" w:cs="方正公文小标宋"/>
          <w:b w:val="0"/>
          <w:bCs w:val="0"/>
          <w:sz w:val="44"/>
          <w:szCs w:val="44"/>
        </w:rPr>
        <w:t>评审</w:t>
      </w:r>
      <w:r>
        <w:rPr>
          <w:rFonts w:hint="eastAsia" w:ascii="方正公文小标宋" w:hAnsi="方正公文小标宋" w:eastAsia="方正公文小标宋" w:cs="方正公文小标宋"/>
          <w:b w:val="0"/>
          <w:bCs w:val="0"/>
          <w:sz w:val="44"/>
          <w:szCs w:val="44"/>
          <w:lang w:val="en-US" w:eastAsia="zh-CN"/>
        </w:rPr>
        <w:t>细则</w:t>
      </w:r>
    </w:p>
    <w:p w14:paraId="336706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本次采购采用综合评分，除价格因素外，评审小组成员应当根据自身专业情况独立对每个有效供应商的响应文件进行评价、打分。</w:t>
      </w:r>
      <w:bookmarkStart w:id="0" w:name="_GoBack"/>
      <w:bookmarkEnd w:id="0"/>
    </w:p>
    <w:p w14:paraId="41EE81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341"/>
        <w:gridCol w:w="1117"/>
        <w:gridCol w:w="9224"/>
        <w:gridCol w:w="763"/>
      </w:tblGrid>
      <w:tr w14:paraId="7659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9" w:type="dxa"/>
            <w:noWrap w:val="0"/>
            <w:vAlign w:val="top"/>
          </w:tcPr>
          <w:p w14:paraId="18C419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341" w:type="dxa"/>
            <w:noWrap w:val="0"/>
            <w:vAlign w:val="top"/>
          </w:tcPr>
          <w:p w14:paraId="722AF2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评分因素及权重</w:t>
            </w:r>
          </w:p>
        </w:tc>
        <w:tc>
          <w:tcPr>
            <w:tcW w:w="1117" w:type="dxa"/>
            <w:noWrap w:val="0"/>
            <w:vAlign w:val="top"/>
          </w:tcPr>
          <w:p w14:paraId="5788F5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分值</w:t>
            </w:r>
          </w:p>
        </w:tc>
        <w:tc>
          <w:tcPr>
            <w:tcW w:w="9224" w:type="dxa"/>
            <w:noWrap w:val="0"/>
            <w:vAlign w:val="top"/>
          </w:tcPr>
          <w:p w14:paraId="5C3A90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评分标准</w:t>
            </w:r>
          </w:p>
        </w:tc>
        <w:tc>
          <w:tcPr>
            <w:tcW w:w="763" w:type="dxa"/>
            <w:noWrap w:val="0"/>
            <w:vAlign w:val="top"/>
          </w:tcPr>
          <w:p w14:paraId="1F1DCB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b w:val="0"/>
                <w:bCs w:val="0"/>
                <w:sz w:val="24"/>
                <w:szCs w:val="24"/>
                <w:vertAlign w:val="baseline"/>
              </w:rPr>
            </w:pPr>
            <w:r>
              <w:rPr>
                <w:rFonts w:hint="default" w:ascii="Times New Roman" w:hAnsi="Times New Roman" w:eastAsia="方正仿宋_GB2312" w:cs="Times New Roman"/>
                <w:b w:val="0"/>
                <w:bCs w:val="0"/>
                <w:sz w:val="24"/>
                <w:szCs w:val="24"/>
                <w:vertAlign w:val="baseline"/>
              </w:rPr>
              <w:t>得分</w:t>
            </w:r>
          </w:p>
        </w:tc>
      </w:tr>
      <w:tr w14:paraId="0552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14:paraId="2200A3D8">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341" w:type="dxa"/>
            <w:noWrap w:val="0"/>
            <w:vAlign w:val="top"/>
          </w:tcPr>
          <w:p w14:paraId="27F9D9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报价10%</w:t>
            </w:r>
          </w:p>
        </w:tc>
        <w:tc>
          <w:tcPr>
            <w:tcW w:w="1117" w:type="dxa"/>
            <w:noWrap w:val="0"/>
            <w:vAlign w:val="top"/>
          </w:tcPr>
          <w:p w14:paraId="6F98AA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10分</w:t>
            </w:r>
          </w:p>
        </w:tc>
        <w:tc>
          <w:tcPr>
            <w:tcW w:w="9224" w:type="dxa"/>
            <w:noWrap w:val="0"/>
            <w:vAlign w:val="top"/>
          </w:tcPr>
          <w:p w14:paraId="6AC7072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经比选小组评审，通过资格和符合性审查，且响应报价最低的供应商的响应报价作为评审基准价。报价得分=(评审基准价／响应报价) ×分值。</w:t>
            </w:r>
          </w:p>
        </w:tc>
        <w:tc>
          <w:tcPr>
            <w:tcW w:w="763" w:type="dxa"/>
            <w:noWrap w:val="0"/>
            <w:vAlign w:val="top"/>
          </w:tcPr>
          <w:p w14:paraId="7069A9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sz w:val="24"/>
                <w:szCs w:val="24"/>
                <w:vertAlign w:val="baseline"/>
              </w:rPr>
            </w:pPr>
          </w:p>
        </w:tc>
      </w:tr>
      <w:tr w14:paraId="45DF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14:paraId="53780D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4D2B85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341" w:type="dxa"/>
            <w:noWrap w:val="0"/>
            <w:vAlign w:val="top"/>
          </w:tcPr>
          <w:p w14:paraId="7B1ACB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p>
          <w:p w14:paraId="0F7066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项目实施方案40%</w:t>
            </w:r>
          </w:p>
        </w:tc>
        <w:tc>
          <w:tcPr>
            <w:tcW w:w="1117" w:type="dxa"/>
            <w:noWrap w:val="0"/>
            <w:vAlign w:val="top"/>
          </w:tcPr>
          <w:p w14:paraId="25B5AB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32F6C7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40分</w:t>
            </w:r>
          </w:p>
        </w:tc>
        <w:tc>
          <w:tcPr>
            <w:tcW w:w="9224" w:type="dxa"/>
            <w:noWrap w:val="0"/>
            <w:vAlign w:val="top"/>
          </w:tcPr>
          <w:p w14:paraId="7F6E0AD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供应商单位根据本项目特点，提供项目实施方案（包含但不限于以下几点：1.背景分析；2.宣传策略；3.实施措施；4.进度控制；5.拟投入配套设备。</w:t>
            </w:r>
          </w:p>
          <w:p w14:paraId="760325A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方案齐全且符合项目要求的每有一项得8分，本项最多得40分。以上方案每有一处存在缺陷（缺陷为方案内容存在逻辑问题或与项目实际需求不符或方案内容有缺失）的扣4分，扣完为止。</w:t>
            </w:r>
          </w:p>
        </w:tc>
        <w:tc>
          <w:tcPr>
            <w:tcW w:w="763" w:type="dxa"/>
            <w:noWrap w:val="0"/>
            <w:vAlign w:val="top"/>
          </w:tcPr>
          <w:p w14:paraId="25EB83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sz w:val="24"/>
                <w:szCs w:val="24"/>
                <w:vertAlign w:val="baseline"/>
              </w:rPr>
            </w:pPr>
          </w:p>
        </w:tc>
      </w:tr>
      <w:tr w14:paraId="54D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14:paraId="32F363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56399C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6F88A9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0CE73B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2348FE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341" w:type="dxa"/>
            <w:noWrap w:val="0"/>
            <w:vAlign w:val="top"/>
          </w:tcPr>
          <w:p w14:paraId="4AD671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p>
          <w:p w14:paraId="4730FD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p>
          <w:p w14:paraId="3750EF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p>
          <w:p w14:paraId="0B8CEB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p>
          <w:p w14:paraId="5B8873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人员配置方案20%</w:t>
            </w:r>
          </w:p>
        </w:tc>
        <w:tc>
          <w:tcPr>
            <w:tcW w:w="1117" w:type="dxa"/>
            <w:noWrap w:val="0"/>
            <w:vAlign w:val="top"/>
          </w:tcPr>
          <w:p w14:paraId="39AE35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157395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4AA347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2BBDDE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011D01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20分</w:t>
            </w:r>
          </w:p>
        </w:tc>
        <w:tc>
          <w:tcPr>
            <w:tcW w:w="9224" w:type="dxa"/>
            <w:noWrap w:val="0"/>
            <w:vAlign w:val="top"/>
          </w:tcPr>
          <w:p w14:paraId="3AF3154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团队工作人员配置方案，根据供应商提供的人员配置方案进行综合评审：</w:t>
            </w:r>
          </w:p>
          <w:p w14:paraId="214F483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①团队工作人员配置：本项目拟投入的服务人员至少6人，其中针对本项目拟派项目负责人具有10年以上传媒</w:t>
            </w:r>
            <w:r>
              <w:rPr>
                <w:rFonts w:hint="eastAsia" w:ascii="宋体" w:hAnsi="宋体" w:cs="宋体"/>
                <w:sz w:val="24"/>
                <w:szCs w:val="24"/>
                <w:vertAlign w:val="baseline"/>
                <w:lang w:eastAsia="zh-CN"/>
              </w:rPr>
              <w:t>、</w:t>
            </w:r>
            <w:r>
              <w:rPr>
                <w:rFonts w:hint="eastAsia" w:ascii="宋体" w:hAnsi="宋体" w:cs="宋体"/>
                <w:sz w:val="24"/>
                <w:szCs w:val="24"/>
                <w:vertAlign w:val="baseline"/>
                <w:lang w:val="en-US" w:eastAsia="zh-CN"/>
              </w:rPr>
              <w:t>广告或品牌营销行业</w:t>
            </w:r>
            <w:r>
              <w:rPr>
                <w:rFonts w:hint="eastAsia" w:ascii="宋体" w:hAnsi="宋体" w:eastAsia="宋体" w:cs="宋体"/>
                <w:sz w:val="24"/>
                <w:szCs w:val="24"/>
                <w:vertAlign w:val="baseline"/>
              </w:rPr>
              <w:t>工作经验得3分，拟派本项目服务团队成员中具有包括但不限于新闻行业类、广播电视编导类、数字媒体艺术类、美术设计类人员等，每增加一人得1分，最多得8分，未提供不得分。</w:t>
            </w:r>
          </w:p>
          <w:p w14:paraId="49D314F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②团队工作人员类似工作经验：每提供一人得2分，最多得12分，未提供不得分。</w:t>
            </w:r>
          </w:p>
          <w:p w14:paraId="43D7234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备注：相关服务人员需提供毕业证书/学位证书/行业相关证书等资料进行佐证，未提供不得相应分。</w:t>
            </w:r>
          </w:p>
        </w:tc>
        <w:tc>
          <w:tcPr>
            <w:tcW w:w="763" w:type="dxa"/>
            <w:noWrap w:val="0"/>
            <w:vAlign w:val="top"/>
          </w:tcPr>
          <w:p w14:paraId="76583F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sz w:val="24"/>
                <w:szCs w:val="24"/>
                <w:vertAlign w:val="baseline"/>
              </w:rPr>
            </w:pPr>
          </w:p>
        </w:tc>
      </w:tr>
      <w:tr w14:paraId="1EB6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14:paraId="019675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3A40EB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41FC3F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341" w:type="dxa"/>
            <w:noWrap w:val="0"/>
            <w:vAlign w:val="top"/>
          </w:tcPr>
          <w:p w14:paraId="2FC771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p>
          <w:p w14:paraId="79F3D8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p>
          <w:p w14:paraId="6B7D16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后续服务方案12%</w:t>
            </w:r>
          </w:p>
        </w:tc>
        <w:tc>
          <w:tcPr>
            <w:tcW w:w="1117" w:type="dxa"/>
            <w:noWrap w:val="0"/>
            <w:vAlign w:val="top"/>
          </w:tcPr>
          <w:p w14:paraId="4FA74A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1EF9D5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521B42E5">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12分</w:t>
            </w:r>
          </w:p>
        </w:tc>
        <w:tc>
          <w:tcPr>
            <w:tcW w:w="9224" w:type="dxa"/>
            <w:noWrap w:val="0"/>
            <w:vAlign w:val="top"/>
          </w:tcPr>
          <w:p w14:paraId="5AF4DE4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根据供应商提供的后续服务方案进行综合评审，方案包括但不限于:①应急预案、②质量管理措施、③售后服务方案，方案包含以上3项所有内容得12分；每缺一项扣4分，每有一处内容具有缺陷的扣2分，扣完为止。（缺陷是指：方案内容不适用项目特性的情形、凭空编造、内容不完整或缺少关键节点、套用其他项目方案、内容前后矛盾、涉及的规范及标准错误、不利于项目实施、不可能实现的情形等任意一种情形。）</w:t>
            </w:r>
          </w:p>
        </w:tc>
        <w:tc>
          <w:tcPr>
            <w:tcW w:w="763" w:type="dxa"/>
            <w:noWrap w:val="0"/>
            <w:vAlign w:val="top"/>
          </w:tcPr>
          <w:p w14:paraId="3E4210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sz w:val="24"/>
                <w:szCs w:val="24"/>
                <w:vertAlign w:val="baseline"/>
              </w:rPr>
            </w:pPr>
          </w:p>
        </w:tc>
      </w:tr>
      <w:tr w14:paraId="570D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14:paraId="17318A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537A31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341" w:type="dxa"/>
            <w:noWrap w:val="0"/>
            <w:vAlign w:val="top"/>
          </w:tcPr>
          <w:p w14:paraId="7D7551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p>
          <w:p w14:paraId="1BA85D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履约能力15%</w:t>
            </w:r>
          </w:p>
        </w:tc>
        <w:tc>
          <w:tcPr>
            <w:tcW w:w="1117" w:type="dxa"/>
            <w:noWrap w:val="0"/>
            <w:vAlign w:val="top"/>
          </w:tcPr>
          <w:p w14:paraId="40D68F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p w14:paraId="264650F3">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15分</w:t>
            </w:r>
          </w:p>
        </w:tc>
        <w:tc>
          <w:tcPr>
            <w:tcW w:w="9224" w:type="dxa"/>
            <w:noWrap w:val="0"/>
            <w:vAlign w:val="top"/>
          </w:tcPr>
          <w:p w14:paraId="35F955F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供应商承担过类似项目业绩的，每提供一个得5分，最多得15分。</w:t>
            </w:r>
          </w:p>
          <w:p w14:paraId="6265F08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（类似业绩指：视频拍摄制作类、宣传推广类等，供应商需提供合同协议书或中选通知书复印件，证明材料应能体现满足以上要求的内容，相关证明材料并加盖供应商公章）</w:t>
            </w:r>
          </w:p>
        </w:tc>
        <w:tc>
          <w:tcPr>
            <w:tcW w:w="763" w:type="dxa"/>
            <w:noWrap w:val="0"/>
            <w:vAlign w:val="top"/>
          </w:tcPr>
          <w:p w14:paraId="4A84D0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sz w:val="24"/>
                <w:szCs w:val="24"/>
                <w:vertAlign w:val="baseline"/>
              </w:rPr>
            </w:pPr>
          </w:p>
        </w:tc>
      </w:tr>
      <w:tr w14:paraId="6D79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14:paraId="4FF04D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341" w:type="dxa"/>
            <w:noWrap w:val="0"/>
            <w:vAlign w:val="top"/>
          </w:tcPr>
          <w:p w14:paraId="6CA440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响应文件规范</w:t>
            </w:r>
            <w:r>
              <w:rPr>
                <w:rFonts w:hint="eastAsia" w:ascii="宋体" w:hAnsi="宋体" w:eastAsia="宋体" w:cs="宋体"/>
                <w:sz w:val="24"/>
                <w:szCs w:val="24"/>
                <w:vertAlign w:val="baseline"/>
                <w:lang w:val="en-US" w:eastAsia="zh-CN"/>
              </w:rPr>
              <w:t>性</w:t>
            </w:r>
            <w:r>
              <w:rPr>
                <w:rFonts w:hint="eastAsia" w:ascii="宋体" w:hAnsi="宋体" w:eastAsia="宋体" w:cs="宋体"/>
                <w:sz w:val="24"/>
                <w:szCs w:val="24"/>
                <w:vertAlign w:val="baseline"/>
              </w:rPr>
              <w:t>3%</w:t>
            </w:r>
          </w:p>
        </w:tc>
        <w:tc>
          <w:tcPr>
            <w:tcW w:w="1117" w:type="dxa"/>
            <w:noWrap w:val="0"/>
            <w:vAlign w:val="top"/>
          </w:tcPr>
          <w:p w14:paraId="340B17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3分</w:t>
            </w:r>
          </w:p>
        </w:tc>
        <w:tc>
          <w:tcPr>
            <w:tcW w:w="9224" w:type="dxa"/>
            <w:noWrap w:val="0"/>
            <w:vAlign w:val="top"/>
          </w:tcPr>
          <w:p w14:paraId="774F13B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响应文件制作规范，没有细微偏差情形的得3分；有一项细微偏差扣0.5分，直至该项分值扣完为止。</w:t>
            </w:r>
          </w:p>
        </w:tc>
        <w:tc>
          <w:tcPr>
            <w:tcW w:w="763" w:type="dxa"/>
            <w:noWrap w:val="0"/>
            <w:vAlign w:val="top"/>
          </w:tcPr>
          <w:p w14:paraId="5E3201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sz w:val="24"/>
                <w:szCs w:val="24"/>
                <w:vertAlign w:val="baseline"/>
              </w:rPr>
            </w:pPr>
          </w:p>
        </w:tc>
      </w:tr>
      <w:tr w14:paraId="6A5A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411" w:type="dxa"/>
            <w:gridSpan w:val="4"/>
            <w:noWrap w:val="0"/>
            <w:vAlign w:val="top"/>
          </w:tcPr>
          <w:p w14:paraId="427640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合计100分</w:t>
            </w:r>
          </w:p>
        </w:tc>
        <w:tc>
          <w:tcPr>
            <w:tcW w:w="763" w:type="dxa"/>
            <w:noWrap w:val="0"/>
            <w:vAlign w:val="top"/>
          </w:tcPr>
          <w:p w14:paraId="669F20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sz w:val="24"/>
                <w:szCs w:val="24"/>
                <w:vertAlign w:val="baseline"/>
              </w:rPr>
            </w:pPr>
          </w:p>
        </w:tc>
      </w:tr>
    </w:tbl>
    <w:p w14:paraId="003FCCC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方正仿宋_GB2312" w:hAnsi="方正仿宋_GB2312" w:eastAsia="方正仿宋_GB2312" w:cs="方正仿宋_GB2312"/>
          <w:sz w:val="24"/>
          <w:szCs w:val="24"/>
        </w:rPr>
      </w:pPr>
    </w:p>
    <w:p w14:paraId="63FF3B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rPr>
      </w:pPr>
    </w:p>
    <w:p w14:paraId="7144128A"/>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56B2795-24EE-4662-928E-77EFA4CBC247}"/>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7442EB36-49AE-4B08-816E-99E105FAA1AB}"/>
  </w:font>
  <w:font w:name="方正公文小标宋">
    <w:panose1 w:val="02000500000000000000"/>
    <w:charset w:val="86"/>
    <w:family w:val="auto"/>
    <w:pitch w:val="default"/>
    <w:sig w:usb0="A00002BF" w:usb1="38CF7CFA" w:usb2="00000016" w:usb3="00000000" w:csb0="00040001" w:csb1="00000000"/>
    <w:embedRegular r:id="rId3" w:fontKey="{5B666FD1-71EF-4F7A-B054-A0E8629599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DI3MmM3YTZiZmI5MTdjZjFhMjVhODYwYmI3Y2QifQ=="/>
  </w:docVars>
  <w:rsids>
    <w:rsidRoot w:val="3FE465C0"/>
    <w:rsid w:val="0B341693"/>
    <w:rsid w:val="3FE465C0"/>
    <w:rsid w:val="4FFA5BBA"/>
    <w:rsid w:val="67966AB9"/>
    <w:rsid w:val="68FF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2024-12-10T05:30:00Z</dcterms:created>
  <dc:creator>刘霁月</dc:creator>
  <cp:lastModifiedBy>刘霁月</cp:lastModifiedBy>
  <dcterms:modified xsi:type="dcterms:W3CDTF">2024-12-10T05:30:26Z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768CE267EB194E918272E58754319752_11</vt:lpwstr>
  </property>
</Properties>
</file>